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D327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 w:rsidRPr="00D32771">
              <w:rPr>
                <w:rFonts w:asciiTheme="majorHAnsi" w:hAnsiTheme="majorHAnsi"/>
                <w:b/>
                <w:sz w:val="18"/>
                <w:szCs w:val="18"/>
              </w:rPr>
              <w:t>METODIKA POUČAVANJA I UČENJA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D327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MPIUH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D3277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7D3B2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FF310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FF310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D3277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612A8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2A81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612A8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2A81">
              <w:rPr>
                <w:rFonts w:asciiTheme="majorHAnsi" w:hAnsiTheme="majorHAnsi" w:cs="Arial"/>
                <w:b/>
                <w:sz w:val="18"/>
                <w:szCs w:val="18"/>
              </w:rPr>
              <w:t>108,3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D32771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/>
                <w:b/>
                <w:sz w:val="18"/>
                <w:szCs w:val="18"/>
              </w:rPr>
              <w:t>153,3333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D3277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D327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- usmjerenje Edukacija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D327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D327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 w:rsidRPr="00D32771">
              <w:rPr>
                <w:rFonts w:asciiTheme="majorHAnsi" w:hAnsiTheme="majorHAnsi"/>
                <w:b/>
                <w:sz w:val="18"/>
                <w:szCs w:val="18"/>
              </w:rPr>
              <w:t>Spoznaja i upotreba nastavnih metoda u hemiji sa naglaskom logičkog mišljenja. Razvijanje samostalnosti kod studenta i njegovo osposobljavanje za samostalno cjeloživotno učenje i pobuđivanje istraživačke znatiželje.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385A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 w:rsidRPr="00D32771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 studenti će moći: Povezivati rezultate vrjednovanja s planiranjem budućeg nastavnog rada i nastavne prakse; Prilagoditi razredni prostor i druge fizičke uvjete za individualni, grupni ili frontalni rad u nastavi hemije; Povezati znanja o nastavnim strategijama i metodama u specifičnom razrednom kontekstu; Primijeniti Bloomovu taksonomiju u evaluaciji učeničkih postignuća; Konstruirati pojmovne mape za zadane hemijske pojmove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D327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 w:rsidRPr="00D32771">
              <w:rPr>
                <w:rFonts w:asciiTheme="majorHAnsi" w:hAnsiTheme="majorHAnsi"/>
                <w:b/>
                <w:sz w:val="18"/>
                <w:szCs w:val="18"/>
              </w:rPr>
              <w:t>Pojmovne mape i razvijanje sposobnosti povezivanja; Primjena pojmovne analize na programske sadržaje hemije; Konstruktivistički model saznavanja; Specifičnosti učenja hemije; Bloomova taksonomija i njena primjena; Metode evaluacije dostignutog hemijskog obrazovanja; Kvalitetna škola W. Glassera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B5D0D" w:rsidRPr="00DB5D0D" w:rsidRDefault="007D3B26" w:rsidP="00DB5D0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B5D0D">
              <w:rPr>
                <w:rFonts w:asciiTheme="majorHAnsi" w:hAnsiTheme="majorHAnsi" w:cs="Arial"/>
                <w:b/>
                <w:sz w:val="18"/>
                <w:szCs w:val="18"/>
              </w:rPr>
              <w:t>1.</w:t>
            </w:r>
            <w:r w:rsidR="00DB5D0D" w:rsidRPr="00DB5D0D">
              <w:rPr>
                <w:rFonts w:asciiTheme="majorHAnsi" w:hAnsiTheme="majorHAnsi"/>
                <w:b/>
                <w:sz w:val="18"/>
                <w:szCs w:val="18"/>
              </w:rPr>
              <w:t>Bognar, L., Matijević, M. (2005). Didaktika. Zagreb: Školska knjiga.</w:t>
            </w:r>
          </w:p>
          <w:p w:rsidR="00903591" w:rsidRDefault="00DB5D0D" w:rsidP="00DB5D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DB5D0D">
              <w:rPr>
                <w:rFonts w:asciiTheme="majorHAnsi" w:hAnsiTheme="majorHAnsi"/>
                <w:b/>
                <w:sz w:val="18"/>
                <w:szCs w:val="18"/>
              </w:rPr>
              <w:t>.Dryden, G., Vos J. (2001). Revolucija u učenju. Zagreb: Educa.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DB5D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B5D0D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DB5D0D" w:rsidRPr="00DB5D0D">
              <w:rPr>
                <w:rFonts w:asciiTheme="majorHAnsi" w:hAnsiTheme="majorHAnsi"/>
                <w:b/>
                <w:sz w:val="18"/>
                <w:szCs w:val="18"/>
              </w:rPr>
              <w:t xml:space="preserve"> Arends, R.I. (1994). Learning to Teach. New York: McGraw-Hill, Inc.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A80CA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A80CA3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A80CA3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12A81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12A81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12A81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Pr="00A80CA3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Pr="00A80CA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A80CA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102" w:rsidRDefault="00FF3102">
      <w:pPr>
        <w:spacing w:line="240" w:lineRule="auto"/>
      </w:pPr>
      <w:r>
        <w:separator/>
      </w:r>
    </w:p>
  </w:endnote>
  <w:endnote w:type="continuationSeparator" w:id="0">
    <w:p w:rsidR="00FF3102" w:rsidRDefault="00FF31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80CA3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80CA3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80CA3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102" w:rsidRDefault="00FF3102">
      <w:pPr>
        <w:spacing w:after="0"/>
      </w:pPr>
      <w:r>
        <w:separator/>
      </w:r>
    </w:p>
  </w:footnote>
  <w:footnote w:type="continuationSeparator" w:id="0">
    <w:p w:rsidR="00FF3102" w:rsidRDefault="00FF31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0780F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85ABF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12A81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4D9A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0CA3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3102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73AA6-C24F-4DF5-B321-41905264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7CDD9-52EA-44CB-A4F1-16B03717D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6</cp:revision>
  <cp:lastPrinted>2024-03-19T08:24:00Z</cp:lastPrinted>
  <dcterms:created xsi:type="dcterms:W3CDTF">2025-11-17T10:18:00Z</dcterms:created>
  <dcterms:modified xsi:type="dcterms:W3CDTF">2025-11-21T08:42:00Z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